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B32C28">
        <w:rPr>
          <w:rFonts w:ascii="Arial Narrow" w:hAnsi="Arial Narrow"/>
          <w:sz w:val="24"/>
          <w:szCs w:val="24"/>
        </w:rPr>
        <w:t>50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B32C28" w:rsidRPr="00B32C28" w:rsidRDefault="00E73B91" w:rsidP="00B32C28">
      <w:pPr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B32C28">
        <w:rPr>
          <w:rFonts w:ascii="Arial Narrow" w:hAnsi="Arial Narrow"/>
          <w:b/>
          <w:sz w:val="24"/>
          <w:szCs w:val="24"/>
        </w:rPr>
        <w:t>„</w:t>
      </w:r>
      <w:r w:rsidR="00B32C28" w:rsidRPr="00B32C28">
        <w:rPr>
          <w:rFonts w:ascii="Arial Narrow" w:hAnsi="Arial Narrow"/>
          <w:b/>
          <w:sz w:val="24"/>
          <w:szCs w:val="24"/>
        </w:rPr>
        <w:t>Przebudowa drogi – budowa chodnika w ciągu drogi wojewódzkiej nr 131 w m. Świerkocin</w:t>
      </w:r>
      <w:r w:rsidR="00B32C28">
        <w:rPr>
          <w:rFonts w:ascii="Arial Narrow" w:hAnsi="Arial Narrow"/>
          <w:b/>
          <w:sz w:val="24"/>
          <w:szCs w:val="24"/>
        </w:rPr>
        <w:t>”</w:t>
      </w:r>
    </w:p>
    <w:p w:rsidR="00E73B91" w:rsidRPr="00E73B91" w:rsidRDefault="00E73B91" w:rsidP="00E73B91">
      <w:pPr>
        <w:jc w:val="center"/>
        <w:rPr>
          <w:rFonts w:ascii="Arial Narrow" w:hAnsi="Arial Narrow" w:cs="Arial"/>
          <w:sz w:val="24"/>
          <w:szCs w:val="24"/>
          <w:u w:val="single"/>
        </w:rPr>
      </w:pPr>
      <w:bookmarkStart w:id="0" w:name="_GoBack"/>
      <w:bookmarkEnd w:id="0"/>
    </w:p>
    <w:p w:rsidR="00B236D5" w:rsidRDefault="00B236D5" w:rsidP="00B72F19">
      <w:pPr>
        <w:keepNext/>
        <w:outlineLvl w:val="0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7B2857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267804">
          <w:rPr>
            <w:rStyle w:val="Hipercze"/>
            <w:rFonts w:ascii="Arial Narrow" w:hAnsi="Arial Narrow"/>
          </w:rPr>
          <w:t>https://miniportal.uzp.gov.pl/Postepowania/30cf2363-545f-490c-81bb-f254e7fbc48f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57" w:rsidRDefault="007B2857" w:rsidP="007C5D46">
      <w:pPr>
        <w:spacing w:after="0" w:line="240" w:lineRule="auto"/>
      </w:pPr>
      <w:r>
        <w:separator/>
      </w:r>
    </w:p>
  </w:endnote>
  <w:endnote w:type="continuationSeparator" w:id="0">
    <w:p w:rsidR="007B2857" w:rsidRDefault="007B285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57" w:rsidRDefault="007B2857" w:rsidP="007C5D46">
      <w:pPr>
        <w:spacing w:after="0" w:line="240" w:lineRule="auto"/>
      </w:pPr>
      <w:r>
        <w:separator/>
      </w:r>
    </w:p>
  </w:footnote>
  <w:footnote w:type="continuationSeparator" w:id="0">
    <w:p w:rsidR="007B2857" w:rsidRDefault="007B285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67804"/>
    <w:rsid w:val="0029493C"/>
    <w:rsid w:val="0029558A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2695B"/>
    <w:rsid w:val="007734D7"/>
    <w:rsid w:val="00776EF1"/>
    <w:rsid w:val="007871AC"/>
    <w:rsid w:val="007B2857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97974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236D5"/>
    <w:rsid w:val="00B32C28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30cf2363-545f-490c-81bb-f254e7fbc4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89D0-8326-4E94-ADDC-81D57B17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18</cp:revision>
  <cp:lastPrinted>2018-02-28T13:57:00Z</cp:lastPrinted>
  <dcterms:created xsi:type="dcterms:W3CDTF">2021-01-20T10:54:00Z</dcterms:created>
  <dcterms:modified xsi:type="dcterms:W3CDTF">2021-09-15T11:31:00Z</dcterms:modified>
</cp:coreProperties>
</file>